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3939"/>
        <w:gridCol w:w="2856"/>
        <w:gridCol w:w="2560"/>
      </w:tblGrid>
      <w:tr>
        <w:trPr>
          <w:trHeight w:hRule="atLeast" w:val="518"/>
        </w:trPr>
        <w:tc>
          <w:tcPr>
            <w:tcW w:type="dxa" w:w="9355"/>
            <w:gridSpan w:val="3"/>
          </w:tcPr>
          <w:p w14:paraId="01000000">
            <w:pPr>
              <w:widowControl w:val="1"/>
              <w:ind/>
              <w:jc w:val="right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ПРОЕКТ</w:t>
            </w:r>
          </w:p>
        </w:tc>
      </w:tr>
      <w:tr>
        <w:trPr>
          <w:trHeight w:hRule="atLeast" w:val="1413"/>
        </w:trPr>
        <w:tc>
          <w:tcPr>
            <w:tcW w:type="dxa" w:w="9355"/>
            <w:gridSpan w:val="3"/>
          </w:tcPr>
          <w:p w14:paraId="02000000">
            <w:pPr>
              <w:widowControl w:val="1"/>
              <w:ind/>
              <w:jc w:val="center"/>
              <w:rPr>
                <w:b w:val="1"/>
                <w:sz w:val="32"/>
              </w:rPr>
            </w:pPr>
            <w:bookmarkStart w:id="1" w:name="_Hlk200006182"/>
            <w:r>
              <w:drawing>
                <wp:inline>
                  <wp:extent cx="781050" cy="81915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781050" cy="819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585"/>
        </w:trPr>
        <w:tc>
          <w:tcPr>
            <w:tcW w:type="dxa" w:w="9355"/>
            <w:gridSpan w:val="3"/>
          </w:tcPr>
          <w:p w14:paraId="03000000">
            <w:pPr>
              <w:widowControl w:val="1"/>
              <w:ind w:firstLine="142" w:left="-283"/>
              <w:jc w:val="center"/>
              <w:rPr>
                <w:b w:val="1"/>
                <w:caps w:val="1"/>
                <w:sz w:val="36"/>
              </w:rPr>
            </w:pPr>
            <w:r>
              <w:rPr>
                <w:b w:val="1"/>
                <w:sz w:val="36"/>
              </w:rPr>
              <w:t xml:space="preserve">МИНИСТЕРСТВО </w:t>
            </w:r>
            <w:r>
              <w:rPr>
                <w:b w:val="1"/>
                <w:caps w:val="1"/>
                <w:sz w:val="36"/>
              </w:rPr>
              <w:t>строительства,</w:t>
            </w:r>
          </w:p>
          <w:p w14:paraId="04000000">
            <w:pPr>
              <w:widowControl w:val="1"/>
              <w:ind w:firstLine="142" w:left="-283"/>
              <w:jc w:val="center"/>
              <w:rPr>
                <w:b w:val="1"/>
                <w:caps w:val="0"/>
                <w:sz w:val="36"/>
              </w:rPr>
            </w:pPr>
            <w:r>
              <w:rPr>
                <w:b w:val="1"/>
                <w:caps w:val="1"/>
                <w:sz w:val="36"/>
              </w:rPr>
              <w:t xml:space="preserve">архитектуры и территориального развития </w:t>
            </w:r>
            <w:r>
              <w:rPr>
                <w:b w:val="1"/>
                <w:caps w:val="1"/>
                <w:sz w:val="36"/>
              </w:rPr>
              <w:t xml:space="preserve">Ростовской области </w:t>
            </w:r>
          </w:p>
          <w:p w14:paraId="05000000">
            <w:pPr>
              <w:widowControl w:val="1"/>
              <w:ind w:firstLine="142" w:left="-283"/>
              <w:jc w:val="center"/>
              <w:rPr>
                <w:b w:val="1"/>
                <w:sz w:val="32"/>
              </w:rPr>
            </w:pPr>
          </w:p>
        </w:tc>
      </w:tr>
      <w:tr>
        <w:trPr>
          <w:trHeight w:hRule="atLeast" w:val="744"/>
        </w:trPr>
        <w:tc>
          <w:tcPr>
            <w:tcW w:type="dxa" w:w="9355"/>
            <w:gridSpan w:val="3"/>
          </w:tcPr>
          <w:p w14:paraId="06000000">
            <w:pPr>
              <w:widowControl w:val="1"/>
              <w:ind/>
              <w:jc w:val="center"/>
              <w:rPr>
                <w:b w:val="1"/>
                <w:sz w:val="36"/>
              </w:rPr>
            </w:pPr>
            <w:r>
              <w:rPr>
                <w:b w:val="1"/>
                <w:sz w:val="36"/>
              </w:rPr>
              <w:t>РАСПОРЯЖЕНИЕ</w:t>
            </w:r>
          </w:p>
        </w:tc>
      </w:tr>
      <w:tr>
        <w:trPr>
          <w:trHeight w:hRule="atLeast" w:val="405"/>
        </w:trPr>
        <w:tc>
          <w:tcPr>
            <w:tcW w:type="dxa" w:w="3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r>
              <w:t xml:space="preserve">«____» _________ 2026 г. </w:t>
            </w:r>
          </w:p>
        </w:tc>
        <w:tc>
          <w:tcPr>
            <w:tcW w:type="dxa" w:w="28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widowControl w:val="1"/>
              <w:ind/>
              <w:jc w:val="right"/>
            </w:pPr>
            <w:r>
              <w:t xml:space="preserve"> </w:t>
            </w:r>
          </w:p>
        </w:tc>
        <w:tc>
          <w:tcPr>
            <w:tcW w:type="dxa" w:w="2560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ind/>
              <w:jc w:val="left"/>
            </w:pPr>
            <w:r>
              <w:t xml:space="preserve">    № _______</w:t>
            </w:r>
          </w:p>
        </w:tc>
      </w:tr>
    </w:tbl>
    <w:p w14:paraId="0A000000"/>
    <w:tbl>
      <w:tblPr>
        <w:tblStyle w:val="Style_1"/>
        <w:tblW w:type="auto" w:w="0"/>
        <w:tblInd w:type="dxa" w:w="137"/>
        <w:tblLayout w:type="fixed"/>
      </w:tblPr>
      <w:tblGrid>
        <w:gridCol w:w="8930"/>
      </w:tblGrid>
      <w:tr>
        <w:trPr>
          <w:trHeight w:hRule="atLeast" w:val="584"/>
        </w:trPr>
        <w:tc>
          <w:tcPr>
            <w:tcW w:type="dxa" w:w="8930"/>
          </w:tcPr>
          <w:p w14:paraId="0B000000">
            <w:pPr>
              <w:widowControl w:val="1"/>
              <w:ind/>
              <w:jc w:val="center"/>
            </w:pPr>
            <w:r>
              <w:t>г. Ростов-на-Дону</w:t>
            </w:r>
          </w:p>
          <w:p w14:paraId="0C000000">
            <w:pPr>
              <w:widowControl w:val="1"/>
              <w:ind/>
              <w:jc w:val="center"/>
              <w:rPr>
                <w:color w:val="000040"/>
              </w:rPr>
            </w:pPr>
          </w:p>
          <w:p w14:paraId="0D000000">
            <w:pPr>
              <w:widowControl w:val="1"/>
              <w:ind/>
              <w:jc w:val="center"/>
              <w:rPr>
                <w:color w:val="000040"/>
              </w:rPr>
            </w:pPr>
          </w:p>
        </w:tc>
      </w:tr>
    </w:tbl>
    <w:p w14:paraId="0E000000">
      <w:pPr>
        <w:widowControl w:val="1"/>
        <w:ind w:firstLine="0" w:left="0"/>
        <w:jc w:val="center"/>
        <w:rPr>
          <w:b w:val="1"/>
        </w:rPr>
      </w:pPr>
      <w:r>
        <w:rPr>
          <w:b w:val="1"/>
          <w:strike w:val="0"/>
          <w:u w:val="none"/>
        </w:rPr>
        <w:t xml:space="preserve">О </w:t>
      </w:r>
      <w:r>
        <w:rPr>
          <w:b w:val="1"/>
          <w:strike w:val="0"/>
          <w:u w:val="none"/>
        </w:rPr>
        <w:t xml:space="preserve">предоставлении </w:t>
      </w:r>
      <w:r>
        <w:rPr>
          <w:b w:val="1"/>
        </w:rPr>
        <w:t>разрешения на условно разрешенный вид использования земельного участка</w:t>
      </w:r>
    </w:p>
    <w:p w14:paraId="0F000000">
      <w:pPr>
        <w:widowControl w:val="1"/>
        <w:ind w:firstLine="0" w:left="0"/>
        <w:jc w:val="center"/>
        <w:rPr>
          <w:b w:val="1"/>
        </w:rPr>
      </w:pPr>
    </w:p>
    <w:p w14:paraId="10000000">
      <w:pPr>
        <w:widowControl w:val="1"/>
        <w:ind w:firstLine="700" w:left="0"/>
        <w:jc w:val="both"/>
        <w:rPr>
          <w:strike w:val="0"/>
        </w:rPr>
      </w:pPr>
      <w:r>
        <w:t xml:space="preserve">В </w:t>
      </w:r>
      <w:r>
        <w:t>соответствии со статьями 8</w:t>
      </w:r>
      <w:r>
        <w:rPr>
          <w:vertAlign w:val="superscript"/>
        </w:rPr>
        <w:t>2</w:t>
      </w:r>
      <w:r>
        <w:t xml:space="preserve">, </w:t>
      </w:r>
      <w:r>
        <w:t>39</w:t>
      </w:r>
      <w:r>
        <w:t xml:space="preserve"> Градостроительного кодекса Российской Федерации,</w:t>
      </w:r>
      <w:r>
        <w:t xml:space="preserve"> </w:t>
      </w:r>
      <w:r>
        <w:t>Областным законом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28.12.2024 № 251-ЗС «О</w:t>
      </w:r>
      <w:r>
        <w:rPr>
          <w:rFonts w:ascii="Times New Roman" w:hAnsi="Times New Roman"/>
          <w:spacing w:val="0"/>
          <w:sz w:val="28"/>
        </w:rPr>
        <w:t> </w:t>
      </w:r>
      <w:r>
        <w:t>перераспределении отдельных полномочий между органами местного самоуправления и органами государственной власти Ростовской области»,</w:t>
      </w:r>
      <w:r>
        <w:t xml:space="preserve"> </w:t>
      </w:r>
      <w:r>
        <w:t>постановлениями Правительства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17.02.2025 №</w:t>
      </w:r>
      <w:r>
        <w:rPr>
          <w:rFonts w:ascii="Times New Roman" w:hAnsi="Times New Roman"/>
          <w:spacing w:val="0"/>
          <w:sz w:val="28"/>
        </w:rPr>
        <w:t> </w:t>
      </w:r>
      <w:r>
        <w:t>104 «Об уполномоченных органах», от 25.04.202</w:t>
      </w:r>
      <w:r>
        <w:t>5</w:t>
      </w:r>
      <w:r>
        <w:t xml:space="preserve"> №</w:t>
      </w:r>
      <w:r>
        <w:rPr>
          <w:rFonts w:ascii="Times New Roman" w:hAnsi="Times New Roman"/>
          <w:spacing w:val="0"/>
          <w:sz w:val="28"/>
        </w:rPr>
        <w:t> </w:t>
      </w:r>
      <w:r>
        <w:t>302 «О</w:t>
      </w:r>
      <w:r>
        <w:rPr>
          <w:rFonts w:ascii="Times New Roman" w:hAnsi="Times New Roman"/>
          <w:spacing w:val="0"/>
          <w:sz w:val="28"/>
        </w:rPr>
        <w:t> </w:t>
      </w:r>
      <w:r>
        <w:t>взаимодействии органов государственной власти Ростовской области</w:t>
      </w:r>
      <w:r>
        <w:rPr>
          <w:rFonts w:ascii="Times New Roman" w:hAnsi="Times New Roman"/>
          <w:spacing w:val="0"/>
          <w:sz w:val="28"/>
        </w:rPr>
        <w:t> </w:t>
      </w:r>
      <w:r>
        <w:t>и</w:t>
      </w:r>
      <w:r>
        <w:rPr>
          <w:rFonts w:ascii="Times New Roman" w:hAnsi="Times New Roman"/>
          <w:spacing w:val="0"/>
          <w:sz w:val="28"/>
        </w:rPr>
        <w:t> </w:t>
      </w:r>
      <w:r>
        <w:t>органов местного самоуправления муниципальных образований в Ростовской области по</w:t>
      </w:r>
      <w:r>
        <w:rPr>
          <w:rFonts w:ascii="Times New Roman" w:hAnsi="Times New Roman"/>
          <w:spacing w:val="0"/>
          <w:sz w:val="28"/>
        </w:rPr>
        <w:t> </w:t>
      </w:r>
      <w:r>
        <w:t>вопросам исполнения Областного закона от 28.12.2024 № 251-ЗС»</w:t>
      </w:r>
      <w:r>
        <w:t xml:space="preserve">, </w:t>
      </w:r>
      <w:r>
        <w:t xml:space="preserve">постановлением министерства строительства, архитектуры </w:t>
      </w:r>
      <w:r>
        <w:t>и территориального развития Ростовской области от 15.05.2025 № 13 «О</w:t>
      </w:r>
      <w:r>
        <w:rPr>
          <w:rFonts w:ascii="Times New Roman" w:hAnsi="Times New Roman"/>
          <w:spacing w:val="0"/>
          <w:sz w:val="28"/>
        </w:rPr>
        <w:t> </w:t>
      </w:r>
      <w:r>
        <w:t>комиссии по вопросам градостроительного зонирования</w:t>
      </w:r>
      <w:r>
        <w:t>»</w:t>
      </w:r>
      <w:r>
        <w:t xml:space="preserve">, </w:t>
      </w:r>
      <w:r>
        <w:t>Административным регламентом предоставления государственной услуги «Предоставление разрешения на</w:t>
      </w:r>
      <w:r>
        <w:rPr>
          <w:rFonts w:ascii="Times New Roman" w:hAnsi="Times New Roman"/>
          <w:spacing w:val="0"/>
          <w:sz w:val="28"/>
        </w:rPr>
        <w:t> </w:t>
      </w:r>
      <w:r>
        <w:t>условно разрешенный вид использования земельного участка или объекта капитального строительства»</w:t>
      </w:r>
      <w:r>
        <w:t xml:space="preserve">, утвержденным </w:t>
      </w:r>
      <w:r>
        <w:t>постановлением министерства строительства, арх</w:t>
      </w:r>
      <w:r>
        <w:t xml:space="preserve">итектуры </w:t>
      </w:r>
      <w:r>
        <w:br/>
      </w:r>
      <w:r>
        <w:t xml:space="preserve">и </w:t>
      </w:r>
      <w:r>
        <w:t>территориального развития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31.07.2025 № 21</w:t>
      </w:r>
      <w:r>
        <w:t xml:space="preserve"> (далее – Административный регламент),</w:t>
      </w:r>
      <w:r>
        <w:rPr>
          <w:strike w:val="0"/>
        </w:rPr>
        <w:t xml:space="preserve"> П</w:t>
      </w:r>
      <w:r>
        <w:rPr>
          <w:strike w:val="0"/>
        </w:rPr>
        <w:t>равилами землепользования и застройки</w:t>
      </w:r>
      <w:r>
        <w:rPr>
          <w:rFonts w:ascii="Times New Roman" w:hAnsi="Times New Roman"/>
          <w:strike w:val="0"/>
          <w:color w:val="000000"/>
          <w:sz w:val="28"/>
        </w:rPr>
        <w:t xml:space="preserve"> муниципального образования «Город Батайск» Ростовской области, утвержденным решением Батайской  городской Думы от 16.12.2020 № 91</w:t>
      </w:r>
      <w:r>
        <w:rPr>
          <w:strike w:val="0"/>
        </w:rPr>
        <w:t xml:space="preserve">, </w:t>
      </w:r>
      <w:r>
        <w:rPr>
          <w:strike w:val="0"/>
        </w:rPr>
        <w:t>уч</w:t>
      </w:r>
      <w:r>
        <w:rPr>
          <w:strike w:val="0"/>
        </w:rPr>
        <w:t xml:space="preserve">итывая заключение </w:t>
      </w:r>
      <w:r>
        <w:rPr>
          <w:strike w:val="0"/>
        </w:rPr>
        <w:t>о</w:t>
      </w:r>
      <w:r>
        <w:rPr>
          <w:strike w:val="0"/>
        </w:rPr>
        <w:t xml:space="preserve"> результата</w:t>
      </w:r>
      <w:r>
        <w:rPr>
          <w:strike w:val="0"/>
        </w:rPr>
        <w:t>х</w:t>
      </w:r>
      <w:r>
        <w:rPr>
          <w:strike w:val="0"/>
        </w:rPr>
        <w:t xml:space="preserve"> публичных слушаний</w:t>
      </w:r>
      <w:r>
        <w:rPr>
          <w:strike w:val="0"/>
        </w:rPr>
        <w:t xml:space="preserve"> </w:t>
      </w:r>
      <w:r>
        <w:rPr>
          <w:strike w:val="0"/>
        </w:rPr>
        <w:t xml:space="preserve">от </w:t>
      </w:r>
      <w:r>
        <w:rPr>
          <w:strike w:val="0"/>
        </w:rPr>
        <w:t>_________</w:t>
      </w:r>
      <w:r>
        <w:rPr>
          <w:strike w:val="0"/>
        </w:rPr>
        <w:t>,</w:t>
      </w:r>
      <w:r>
        <w:rPr>
          <w:strike w:val="0"/>
        </w:rPr>
        <w:t xml:space="preserve"> </w:t>
      </w:r>
      <w:r>
        <w:rPr>
          <w:strike w:val="0"/>
        </w:rPr>
        <w:t xml:space="preserve">рекомендации комиссии по вопросам градостроительного зонирования (протокол </w:t>
      </w:r>
      <w:r>
        <w:rPr>
          <w:strike w:val="0"/>
        </w:rPr>
        <w:t>от</w:t>
      </w:r>
      <w:r>
        <w:rPr>
          <w:rFonts w:ascii="Times New Roman" w:hAnsi="Times New Roman"/>
          <w:strike w:val="0"/>
          <w:spacing w:val="0"/>
          <w:sz w:val="28"/>
        </w:rPr>
        <w:t> </w:t>
      </w:r>
      <w:r>
        <w:rPr>
          <w:strike w:val="0"/>
        </w:rPr>
        <w:t>25.12.2025</w:t>
      </w:r>
      <w:r>
        <w:rPr>
          <w:strike w:val="0"/>
        </w:rPr>
        <w:t xml:space="preserve"> </w:t>
      </w:r>
      <w:r>
        <w:rPr>
          <w:strike w:val="0"/>
        </w:rPr>
        <w:t>№</w:t>
      </w:r>
      <w:r>
        <w:rPr>
          <w:strike w:val="0"/>
        </w:rPr>
        <w:t xml:space="preserve"> 24</w:t>
      </w:r>
      <w:r>
        <w:rPr>
          <w:strike w:val="0"/>
        </w:rPr>
        <w:t xml:space="preserve">), </w:t>
      </w:r>
      <w:r>
        <w:rPr>
          <w:strike w:val="0"/>
        </w:rPr>
        <w:t>на</w:t>
      </w:r>
      <w:r>
        <w:rPr>
          <w:rFonts w:ascii="Times New Roman" w:hAnsi="Times New Roman"/>
          <w:strike w:val="0"/>
          <w:spacing w:val="0"/>
          <w:sz w:val="28"/>
        </w:rPr>
        <w:t> </w:t>
      </w:r>
      <w:r>
        <w:rPr>
          <w:strike w:val="0"/>
        </w:rPr>
        <w:t xml:space="preserve">основании </w:t>
      </w:r>
      <w:r>
        <w:rPr>
          <w:strike w:val="0"/>
        </w:rPr>
        <w:t>заявлени</w:t>
      </w:r>
      <w:r>
        <w:rPr>
          <w:strike w:val="0"/>
        </w:rPr>
        <w:t>я</w:t>
      </w:r>
      <w:r>
        <w:rPr>
          <w:strike w:val="0"/>
        </w:rPr>
        <w:t xml:space="preserve"> от 18.12.2025 №</w:t>
      </w:r>
      <w:r>
        <w:rPr>
          <w:rFonts w:ascii="Times New Roman" w:hAnsi="Times New Roman"/>
          <w:spacing w:val="0"/>
          <w:sz w:val="28"/>
        </w:rPr>
        <w:t> </w:t>
      </w:r>
      <w:r>
        <w:t>РУРВИ-</w:t>
      </w:r>
      <w:r>
        <w:rPr>
          <w:strike w:val="0"/>
        </w:rPr>
        <w:t>88:</w:t>
      </w:r>
    </w:p>
    <w:p w14:paraId="11000000">
      <w:pPr>
        <w:widowControl w:val="1"/>
        <w:ind w:firstLine="700" w:left="0"/>
        <w:jc w:val="both"/>
        <w:rPr>
          <w:strike w:val="0"/>
        </w:rPr>
      </w:pPr>
    </w:p>
    <w:p w14:paraId="12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1. </w:t>
      </w:r>
      <w:r>
        <w:rPr>
          <w:strike w:val="0"/>
        </w:rPr>
        <w:t>Предоставить разрешение на</w:t>
      </w:r>
      <w:r>
        <w:rPr>
          <w:b w:val="0"/>
        </w:rPr>
        <w:t xml:space="preserve"> условно разрешенный вид использования </w:t>
      </w:r>
      <w:r>
        <w:rPr>
          <w:sz w:val="28"/>
        </w:rPr>
        <w:t xml:space="preserve">«Многоэтажная жилая застройка (высотная застройка)» (код 2.6) </w:t>
      </w:r>
      <w:r>
        <w:rPr>
          <w:rStyle w:val="Style_2_ch"/>
          <w:rFonts w:ascii="Times New Roman" w:hAnsi="Times New Roman"/>
          <w:sz w:val="28"/>
        </w:rPr>
        <w:t>земельного участка</w:t>
      </w:r>
      <w:r>
        <w:rPr>
          <w:rStyle w:val="Style_2_ch"/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pacing w:val="0"/>
          <w:sz w:val="28"/>
        </w:rPr>
        <w:t> </w:t>
      </w:r>
      <w:r>
        <w:rPr>
          <w:rStyle w:val="Style_2_ch"/>
          <w:rFonts w:ascii="Times New Roman" w:hAnsi="Times New Roman"/>
          <w:sz w:val="28"/>
        </w:rPr>
        <w:t>кадастровым номеро</w:t>
      </w:r>
      <w:r>
        <w:rPr>
          <w:rStyle w:val="Style_2_ch"/>
          <w:rFonts w:ascii="Times New Roman" w:hAnsi="Times New Roman"/>
          <w:sz w:val="28"/>
        </w:rPr>
        <w:t xml:space="preserve">м </w:t>
      </w:r>
      <w:r>
        <w:rPr>
          <w:sz w:val="28"/>
        </w:rPr>
        <w:t>61:46:0011301:272</w:t>
      </w:r>
      <w:r>
        <w:rPr>
          <w:rStyle w:val="Style_2_ch"/>
          <w:rFonts w:ascii="Times New Roman" w:hAnsi="Times New Roman"/>
          <w:sz w:val="28"/>
        </w:rPr>
        <w:t>, рас</w:t>
      </w:r>
      <w:r>
        <w:rPr>
          <w:rStyle w:val="Style_2_ch"/>
          <w:rFonts w:ascii="Times New Roman" w:hAnsi="Times New Roman"/>
          <w:sz w:val="28"/>
        </w:rPr>
        <w:t>положенного по а</w:t>
      </w:r>
      <w:r>
        <w:rPr>
          <w:rStyle w:val="Style_2_ch"/>
          <w:rFonts w:ascii="Times New Roman" w:hAnsi="Times New Roman"/>
          <w:sz w:val="28"/>
        </w:rPr>
        <w:t>др</w:t>
      </w:r>
      <w:r>
        <w:rPr>
          <w:rStyle w:val="Style_2_ch"/>
          <w:rFonts w:ascii="Times New Roman" w:hAnsi="Times New Roman"/>
          <w:sz w:val="28"/>
        </w:rPr>
        <w:t>есу:</w:t>
      </w:r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Ростовская обл., г.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Батайск,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ул.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Куйбышева, 161</w:t>
      </w:r>
      <w:r>
        <w:rPr>
          <w:sz w:val="28"/>
        </w:rPr>
        <w:t>.</w:t>
      </w:r>
    </w:p>
    <w:p w14:paraId="13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2</w:t>
      </w:r>
      <w:r>
        <w:rPr>
          <w:strike w:val="0"/>
        </w:rPr>
        <w:t>.</w:t>
      </w:r>
      <w:r>
        <w:rPr>
          <w:strike w:val="0"/>
        </w:rPr>
        <w:t> Управлению организационной работы, материально-технического обеспечения и делопроизводства обеспечить опубликование настоящего постановления на официальном сайте министерства строительства, архитектуры и территориального развития Ростовской области в информационно-телекоммуникационной сети «Интернет», управлению градостроительного развития агломерации и архитектуры обеспечить опубликование настоящего постановления на официальном портале правовой информации Ростовской области.</w:t>
      </w:r>
    </w:p>
    <w:p w14:paraId="14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3</w:t>
      </w:r>
      <w:r>
        <w:rPr>
          <w:strike w:val="0"/>
        </w:rPr>
        <w:t>. Контроль за исполнением настоящего распоряжения возложить на заместителя министра строительства, архитектуры и территориального развития Ростовской области – главного архитектора Ростовской области Алексеева-Малахова Г.А</w:t>
      </w:r>
      <w:r>
        <w:rPr>
          <w:strike w:val="0"/>
        </w:rPr>
        <w:t>.</w:t>
      </w:r>
    </w:p>
    <w:p w14:paraId="15000000">
      <w:pPr>
        <w:widowControl w:val="1"/>
        <w:ind w:firstLine="700" w:left="0"/>
        <w:jc w:val="both"/>
      </w:pPr>
    </w:p>
    <w:p w14:paraId="16000000">
      <w:pPr>
        <w:widowControl w:val="1"/>
        <w:ind w:firstLine="700" w:left="0"/>
        <w:jc w:val="both"/>
      </w:pPr>
    </w:p>
    <w:p w14:paraId="17000000">
      <w:pPr>
        <w:widowControl w:val="1"/>
        <w:ind w:firstLine="700" w:left="0"/>
        <w:jc w:val="both"/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27"/>
        <w:gridCol w:w="1962"/>
        <w:gridCol w:w="3266"/>
      </w:tblGrid>
      <w:tr>
        <w:trPr>
          <w:trHeight w:hRule="atLeast" w:val="360"/>
        </w:trPr>
        <w:tc>
          <w:tcPr>
            <w:tcW w:type="dxa" w:w="412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министра строительства, архитектуры</w:t>
            </w:r>
          </w:p>
          <w:p w14:paraId="19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и территориального развития Ростовской области -</w:t>
            </w:r>
          </w:p>
          <w:p w14:paraId="1A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главный архитектор </w:t>
            </w:r>
          </w:p>
          <w:p w14:paraId="1B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</w:t>
            </w:r>
          </w:p>
        </w:tc>
        <w:tc>
          <w:tcPr>
            <w:tcW w:type="dxa" w:w="196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1"/>
              <w:ind w:left="320"/>
              <w:rPr>
                <w:color w:val="FFFFFF"/>
                <w:sz w:val="28"/>
              </w:rPr>
            </w:pPr>
            <w:r>
              <w:rPr>
                <w:color w:val="FFFFFF"/>
                <w:sz w:val="28"/>
              </w:rPr>
              <w:t>[SIGNERSTAMP1]</w:t>
            </w:r>
          </w:p>
        </w:tc>
        <w:tc>
          <w:tcPr>
            <w:tcW w:type="dxa" w:w="326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00000">
            <w:pPr>
              <w:pStyle w:val="Style_2"/>
              <w:widowControl w:val="1"/>
              <w:ind w:hanging="180" w:left="180" w:right="31"/>
              <w:jc w:val="right"/>
              <w:rPr>
                <w:sz w:val="28"/>
              </w:rPr>
            </w:pPr>
            <w:r>
              <w:rPr>
                <w:sz w:val="28"/>
              </w:rPr>
              <w:t>Г.А. Алексеев-Малахов</w:t>
            </w:r>
          </w:p>
        </w:tc>
      </w:tr>
    </w:tbl>
    <w:p w14:paraId="1E000000">
      <w:pPr>
        <w:widowControl w:val="1"/>
        <w:ind/>
        <w:jc w:val="both"/>
        <w:rPr>
          <w:sz w:val="20"/>
        </w:rPr>
      </w:pPr>
    </w:p>
    <w:p w14:paraId="1F000000">
      <w:pPr>
        <w:widowControl w:val="1"/>
        <w:ind/>
        <w:jc w:val="both"/>
        <w:rPr>
          <w:sz w:val="20"/>
        </w:rPr>
      </w:pPr>
    </w:p>
    <w:p w14:paraId="20000000">
      <w:pPr>
        <w:widowControl w:val="1"/>
        <w:ind/>
        <w:jc w:val="both"/>
        <w:rPr>
          <w:sz w:val="20"/>
        </w:rPr>
      </w:pPr>
    </w:p>
    <w:p w14:paraId="21000000">
      <w:pPr>
        <w:widowControl w:val="1"/>
        <w:ind/>
        <w:jc w:val="both"/>
        <w:rPr>
          <w:sz w:val="20"/>
        </w:rPr>
      </w:pPr>
    </w:p>
    <w:p w14:paraId="22000000">
      <w:pPr>
        <w:widowControl w:val="1"/>
        <w:ind/>
        <w:jc w:val="both"/>
        <w:rPr>
          <w:sz w:val="20"/>
        </w:rPr>
      </w:pPr>
    </w:p>
    <w:p w14:paraId="23000000">
      <w:pPr>
        <w:widowControl w:val="1"/>
        <w:ind/>
        <w:jc w:val="both"/>
        <w:rPr>
          <w:sz w:val="20"/>
        </w:rPr>
      </w:pPr>
    </w:p>
    <w:p w14:paraId="24000000">
      <w:pPr>
        <w:widowControl w:val="1"/>
        <w:ind/>
        <w:jc w:val="both"/>
        <w:rPr>
          <w:sz w:val="20"/>
        </w:rPr>
      </w:pPr>
    </w:p>
    <w:p w14:paraId="25000000">
      <w:pPr>
        <w:widowControl w:val="1"/>
        <w:ind/>
        <w:jc w:val="both"/>
        <w:rPr>
          <w:sz w:val="20"/>
        </w:rPr>
      </w:pPr>
    </w:p>
    <w:p w14:paraId="26000000">
      <w:pPr>
        <w:widowControl w:val="1"/>
        <w:ind/>
        <w:jc w:val="both"/>
        <w:rPr>
          <w:sz w:val="20"/>
        </w:rPr>
      </w:pPr>
    </w:p>
    <w:p w14:paraId="27000000">
      <w:pPr>
        <w:widowControl w:val="1"/>
        <w:ind/>
        <w:jc w:val="both"/>
        <w:rPr>
          <w:sz w:val="20"/>
        </w:rPr>
      </w:pPr>
    </w:p>
    <w:p w14:paraId="28000000">
      <w:pPr>
        <w:widowControl w:val="1"/>
        <w:ind/>
        <w:jc w:val="both"/>
        <w:rPr>
          <w:sz w:val="20"/>
        </w:rPr>
      </w:pPr>
    </w:p>
    <w:p w14:paraId="29000000">
      <w:pPr>
        <w:widowControl w:val="1"/>
        <w:ind/>
        <w:jc w:val="both"/>
        <w:rPr>
          <w:sz w:val="20"/>
        </w:rPr>
      </w:pPr>
    </w:p>
    <w:p w14:paraId="2A000000">
      <w:pPr>
        <w:widowControl w:val="1"/>
        <w:ind/>
        <w:jc w:val="both"/>
        <w:rPr>
          <w:sz w:val="20"/>
        </w:rPr>
      </w:pPr>
    </w:p>
    <w:p w14:paraId="2B000000">
      <w:pPr>
        <w:widowControl w:val="1"/>
        <w:ind/>
        <w:jc w:val="both"/>
        <w:rPr>
          <w:sz w:val="20"/>
        </w:rPr>
      </w:pPr>
    </w:p>
    <w:p w14:paraId="2C000000">
      <w:pPr>
        <w:widowControl w:val="1"/>
        <w:ind/>
        <w:jc w:val="both"/>
        <w:rPr>
          <w:sz w:val="20"/>
        </w:rPr>
      </w:pPr>
    </w:p>
    <w:p w14:paraId="2D000000">
      <w:pPr>
        <w:widowControl w:val="1"/>
        <w:ind/>
        <w:jc w:val="both"/>
        <w:rPr>
          <w:sz w:val="20"/>
        </w:rPr>
      </w:pPr>
    </w:p>
    <w:p w14:paraId="2E000000">
      <w:pPr>
        <w:widowControl w:val="1"/>
        <w:ind/>
        <w:jc w:val="both"/>
        <w:rPr>
          <w:sz w:val="20"/>
        </w:rPr>
      </w:pPr>
    </w:p>
    <w:p w14:paraId="2F000000">
      <w:pPr>
        <w:widowControl w:val="1"/>
        <w:ind/>
        <w:jc w:val="both"/>
        <w:rPr>
          <w:sz w:val="20"/>
        </w:rPr>
      </w:pPr>
    </w:p>
    <w:p w14:paraId="30000000">
      <w:pPr>
        <w:pStyle w:val="Style_2"/>
        <w:widowControl w:val="1"/>
        <w:ind w:firstLine="0" w:left="0"/>
        <w:jc w:val="both"/>
        <w:rPr>
          <w:sz w:val="20"/>
        </w:rPr>
      </w:pPr>
      <w:bookmarkEnd w:id="1"/>
    </w:p>
    <w:p w14:paraId="31000000">
      <w:pPr>
        <w:pStyle w:val="Style_2"/>
        <w:widowControl w:val="1"/>
        <w:ind w:firstLine="0" w:left="0"/>
        <w:jc w:val="both"/>
      </w:pPr>
      <w:r>
        <w:t xml:space="preserve">Распоряжение вносит </w:t>
      </w:r>
    </w:p>
    <w:p w14:paraId="32000000">
      <w:pPr>
        <w:widowControl w:val="0"/>
        <w:ind/>
        <w:jc w:val="both"/>
      </w:pPr>
      <w:r>
        <w:t xml:space="preserve">отдел </w:t>
      </w:r>
      <w:r>
        <w:t xml:space="preserve">территориального </w:t>
      </w:r>
    </w:p>
    <w:p w14:paraId="33000000">
      <w:pPr>
        <w:widowControl w:val="0"/>
        <w:ind/>
        <w:jc w:val="both"/>
      </w:pPr>
      <w:r>
        <w:t xml:space="preserve">планирования и градостроительного </w:t>
      </w:r>
    </w:p>
    <w:p w14:paraId="34000000">
      <w:pPr>
        <w:widowControl w:val="1"/>
        <w:ind/>
        <w:jc w:val="both"/>
      </w:pPr>
      <w:r>
        <w:t>зонирования агломерации</w:t>
      </w:r>
    </w:p>
    <w:p w14:paraId="35000000">
      <w:pPr>
        <w:widowControl w:val="1"/>
        <w:ind/>
        <w:jc w:val="both"/>
      </w:pPr>
    </w:p>
    <w:sectPr>
      <w:pgSz w:h="16838" w:orient="portrait" w:w="11906"/>
      <w:pgMar w:bottom="1134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color w:val="00000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ing 7"/>
    <w:basedOn w:val="Style_2"/>
    <w:next w:val="Style_2"/>
    <w:link w:val="Style_5_ch"/>
    <w:uiPriority w:val="9"/>
    <w:qFormat/>
    <w:pPr>
      <w:keepNext w:val="1"/>
      <w:keepLines w:val="1"/>
      <w:widowControl w:val="1"/>
      <w:spacing w:before="40" w:line="264" w:lineRule="auto"/>
      <w:ind/>
      <w:outlineLvl w:val="6"/>
    </w:pPr>
    <w:rPr>
      <w:rFonts w:asciiTheme="minorAscii" w:hAnsiTheme="minorHAnsi"/>
      <w:color w:themeColor="text1" w:themeTint="A6" w:val="595959"/>
      <w:sz w:val="22"/>
    </w:rPr>
  </w:style>
  <w:style w:styleId="Style_5_ch" w:type="character">
    <w:name w:val="heading 7"/>
    <w:basedOn w:val="Style_2_ch"/>
    <w:link w:val="Style_5"/>
    <w:rPr>
      <w:rFonts w:asciiTheme="minorAscii" w:hAnsiTheme="minorHAnsi"/>
      <w:color w:themeColor="text1" w:themeTint="A6" w:val="595959"/>
      <w:sz w:val="22"/>
    </w:rPr>
  </w:style>
  <w:style w:styleId="Style_6" w:type="paragraph">
    <w:name w:val="toc 6"/>
    <w:next w:val="Style_2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List Paragraph"/>
    <w:basedOn w:val="Style_2"/>
    <w:link w:val="Style_8_ch"/>
    <w:pPr>
      <w:widowControl w:val="1"/>
      <w:spacing w:after="160" w:line="264" w:lineRule="auto"/>
      <w:ind w:firstLine="0" w:left="720"/>
      <w:contextualSpacing w:val="1"/>
    </w:pPr>
    <w:rPr>
      <w:rFonts w:asciiTheme="minorAscii" w:hAnsiTheme="minorHAnsi"/>
      <w:color w:val="000000"/>
      <w:sz w:val="22"/>
    </w:rPr>
  </w:style>
  <w:style w:styleId="Style_8_ch" w:type="character">
    <w:name w:val="List Paragraph"/>
    <w:basedOn w:val="Style_2_ch"/>
    <w:link w:val="Style_8"/>
    <w:rPr>
      <w:rFonts w:asciiTheme="minorAscii" w:hAnsiTheme="minorHAnsi"/>
      <w:color w:val="000000"/>
      <w:sz w:val="22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keepLines w:val="1"/>
      <w:widowControl w:val="1"/>
      <w:spacing w:after="80" w:before="160" w:line="264" w:lineRule="auto"/>
      <w:ind/>
      <w:outlineLvl w:val="2"/>
    </w:pPr>
    <w:rPr>
      <w:rFonts w:asciiTheme="minorAscii" w:hAnsiTheme="minorHAnsi"/>
      <w:color w:themeColor="accent1" w:themeShade="BF" w:val="2F5496"/>
    </w:rPr>
  </w:style>
  <w:style w:styleId="Style_10_ch" w:type="character">
    <w:name w:val="heading 3"/>
    <w:basedOn w:val="Style_2_ch"/>
    <w:link w:val="Style_10"/>
    <w:rPr>
      <w:rFonts w:asciiTheme="minorAscii" w:hAnsiTheme="minorHAnsi"/>
      <w:color w:themeColor="accent1" w:themeShade="BF" w:val="2F5496"/>
    </w:rPr>
  </w:style>
  <w:style w:styleId="Style_11" w:type="paragraph">
    <w:name w:val="heading 9"/>
    <w:basedOn w:val="Style_2"/>
    <w:next w:val="Style_2"/>
    <w:link w:val="Style_11_ch"/>
    <w:uiPriority w:val="9"/>
    <w:qFormat/>
    <w:pPr>
      <w:keepNext w:val="1"/>
      <w:keepLines w:val="1"/>
      <w:widowControl w:val="1"/>
      <w:spacing w:line="264" w:lineRule="auto"/>
      <w:ind/>
      <w:outlineLvl w:val="8"/>
    </w:pPr>
    <w:rPr>
      <w:rFonts w:asciiTheme="minorAscii" w:hAnsiTheme="minorHAnsi"/>
      <w:color w:themeColor="text1" w:themeTint="D8" w:val="272727"/>
      <w:sz w:val="22"/>
    </w:rPr>
  </w:style>
  <w:style w:styleId="Style_11_ch" w:type="character">
    <w:name w:val="heading 9"/>
    <w:basedOn w:val="Style_2_ch"/>
    <w:link w:val="Style_11"/>
    <w:rPr>
      <w:rFonts w:asciiTheme="minorAscii" w:hAnsiTheme="minorHAnsi"/>
      <w:color w:themeColor="text1" w:themeTint="D8" w:val="272727"/>
      <w:sz w:val="22"/>
    </w:rPr>
  </w:style>
  <w:style w:styleId="Style_12" w:type="paragraph">
    <w:name w:val="toc 3"/>
    <w:next w:val="Style_2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  <w:rPr>
      <w:rFonts w:ascii="Times New Roman" w:hAnsi="Times New Roman"/>
      <w:sz w:val="28"/>
    </w:rPr>
  </w:style>
  <w:style w:styleId="Style_13_ch" w:type="character">
    <w:name w:val="Обычный1"/>
    <w:link w:val="Style_13"/>
    <w:rPr>
      <w:rFonts w:ascii="Times New Roman" w:hAnsi="Times New Roman"/>
      <w:sz w:val="28"/>
    </w:rPr>
  </w:style>
  <w:style w:styleId="Style_14" w:type="paragraph">
    <w:name w:val="Quote"/>
    <w:basedOn w:val="Style_2"/>
    <w:next w:val="Style_2"/>
    <w:link w:val="Style_14_ch"/>
    <w:pPr>
      <w:widowControl w:val="1"/>
      <w:spacing w:after="160" w:before="160" w:line="264" w:lineRule="auto"/>
      <w:ind/>
      <w:jc w:val="center"/>
    </w:pPr>
    <w:rPr>
      <w:rFonts w:asciiTheme="minorAscii" w:hAnsiTheme="minorHAnsi"/>
      <w:i w:val="1"/>
      <w:color w:themeColor="text1" w:themeTint="BF" w:val="404040"/>
      <w:sz w:val="22"/>
    </w:rPr>
  </w:style>
  <w:style w:styleId="Style_14_ch" w:type="character">
    <w:name w:val="Quote"/>
    <w:basedOn w:val="Style_2_ch"/>
    <w:link w:val="Style_14"/>
    <w:rPr>
      <w:rFonts w:asciiTheme="minorAscii" w:hAnsiTheme="minorHAnsi"/>
      <w:i w:val="1"/>
      <w:color w:themeColor="text1" w:themeTint="BF" w:val="404040"/>
      <w:sz w:val="22"/>
    </w:rPr>
  </w:style>
  <w:style w:styleId="Style_15" w:type="paragraph">
    <w:name w:val="heading 5"/>
    <w:basedOn w:val="Style_2"/>
    <w:next w:val="Style_2"/>
    <w:link w:val="Style_15_ch"/>
    <w:uiPriority w:val="9"/>
    <w:qFormat/>
    <w:pPr>
      <w:keepNext w:val="1"/>
      <w:keepLines w:val="1"/>
      <w:widowControl w:val="1"/>
      <w:spacing w:after="40" w:before="80" w:line="264" w:lineRule="auto"/>
      <w:ind/>
      <w:outlineLvl w:val="4"/>
    </w:pPr>
    <w:rPr>
      <w:rFonts w:asciiTheme="minorAscii" w:hAnsiTheme="minorHAnsi"/>
      <w:color w:themeColor="accent1" w:themeShade="BF" w:val="2F5496"/>
      <w:sz w:val="22"/>
    </w:rPr>
  </w:style>
  <w:style w:styleId="Style_15_ch" w:type="character">
    <w:name w:val="heading 5"/>
    <w:basedOn w:val="Style_2_ch"/>
    <w:link w:val="Style_15"/>
    <w:rPr>
      <w:rFonts w:asciiTheme="minorAscii" w:hAnsiTheme="minorHAnsi"/>
      <w:color w:themeColor="accent1" w:themeShade="BF" w:val="2F5496"/>
      <w:sz w:val="22"/>
    </w:rPr>
  </w:style>
  <w:style w:styleId="Style_16" w:type="paragraph">
    <w:name w:val="heading 1"/>
    <w:basedOn w:val="Style_2"/>
    <w:next w:val="Style_2"/>
    <w:link w:val="Style_16_ch"/>
    <w:uiPriority w:val="9"/>
    <w:qFormat/>
    <w:pPr>
      <w:keepNext w:val="1"/>
      <w:keepLines w:val="1"/>
      <w:widowControl w:val="1"/>
      <w:spacing w:after="80" w:before="360" w:line="264" w:lineRule="auto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2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2"/>
    <w:next w:val="Style_2"/>
    <w:link w:val="Style_20_ch"/>
    <w:uiPriority w:val="9"/>
    <w:qFormat/>
    <w:pPr>
      <w:keepNext w:val="1"/>
      <w:keepLines w:val="1"/>
      <w:widowControl w:val="1"/>
      <w:spacing w:line="264" w:lineRule="auto"/>
      <w:ind/>
      <w:outlineLvl w:val="7"/>
    </w:pPr>
    <w:rPr>
      <w:rFonts w:asciiTheme="minorAscii" w:hAnsiTheme="minorHAnsi"/>
      <w:i w:val="1"/>
      <w:color w:themeColor="text1" w:themeTint="D8" w:val="272727"/>
      <w:sz w:val="22"/>
    </w:rPr>
  </w:style>
  <w:style w:styleId="Style_20_ch" w:type="character">
    <w:name w:val="heading 8"/>
    <w:basedOn w:val="Style_2_ch"/>
    <w:link w:val="Style_20"/>
    <w:rPr>
      <w:rFonts w:asciiTheme="minorAscii" w:hAnsiTheme="minorHAnsi"/>
      <w:i w:val="1"/>
      <w:color w:themeColor="text1" w:themeTint="D8" w:val="272727"/>
      <w:sz w:val="22"/>
    </w:rPr>
  </w:style>
  <w:style w:styleId="Style_21" w:type="paragraph">
    <w:name w:val="toc 1"/>
    <w:next w:val="Style_2"/>
    <w:link w:val="Style_21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Intense Quote"/>
    <w:basedOn w:val="Style_2"/>
    <w:next w:val="Style_2"/>
    <w:link w:val="Style_23_ch"/>
    <w:pPr>
      <w:widowControl w:val="1"/>
      <w:spacing w:after="360" w:before="360" w:line="264" w:lineRule="auto"/>
      <w:ind w:firstLine="0" w:left="864" w:right="864"/>
      <w:jc w:val="center"/>
    </w:pPr>
    <w:rPr>
      <w:rFonts w:asciiTheme="minorAscii" w:hAnsiTheme="minorHAnsi"/>
      <w:i w:val="1"/>
      <w:color w:themeColor="accent1" w:themeShade="BF" w:val="2F5496"/>
      <w:sz w:val="22"/>
    </w:rPr>
  </w:style>
  <w:style w:styleId="Style_23_ch" w:type="character">
    <w:name w:val="Intense Quote"/>
    <w:basedOn w:val="Style_2_ch"/>
    <w:link w:val="Style_23"/>
    <w:rPr>
      <w:rFonts w:asciiTheme="minorAscii" w:hAnsiTheme="minorHAnsi"/>
      <w:i w:val="1"/>
      <w:color w:themeColor="accent1" w:themeShade="BF" w:val="2F5496"/>
      <w:sz w:val="22"/>
    </w:rPr>
  </w:style>
  <w:style w:styleId="Style_24" w:type="paragraph">
    <w:name w:val="toc 9"/>
    <w:next w:val="Style_2"/>
    <w:link w:val="Style_2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2"/>
    <w:next w:val="Style_2"/>
    <w:link w:val="Style_27_ch"/>
    <w:uiPriority w:val="11"/>
    <w:qFormat/>
    <w:pPr>
      <w:widowControl w:val="1"/>
      <w:numPr>
        <w:ilvl w:val="1"/>
      </w:numPr>
      <w:spacing w:after="160" w:line="264" w:lineRule="auto"/>
      <w:ind/>
    </w:pPr>
    <w:rPr>
      <w:rFonts w:asciiTheme="minorAscii" w:hAnsiTheme="minorHAnsi"/>
      <w:color w:themeColor="text1" w:themeTint="A6" w:val="595959"/>
      <w:spacing w:val="15"/>
    </w:rPr>
  </w:style>
  <w:style w:styleId="Style_27_ch" w:type="character">
    <w:name w:val="Subtitle"/>
    <w:basedOn w:val="Style_2_ch"/>
    <w:link w:val="Style_27"/>
    <w:rPr>
      <w:rFonts w:asciiTheme="minorAscii" w:hAnsiTheme="minorHAnsi"/>
      <w:color w:themeColor="text1" w:themeTint="A6" w:val="595959"/>
      <w:spacing w:val="15"/>
    </w:rPr>
  </w:style>
  <w:style w:styleId="Style_28" w:type="paragraph">
    <w:name w:val="Title"/>
    <w:basedOn w:val="Style_2"/>
    <w:next w:val="Style_2"/>
    <w:link w:val="Style_28_ch"/>
    <w:uiPriority w:val="10"/>
    <w:qFormat/>
    <w:pPr>
      <w:widowControl w:val="1"/>
      <w:spacing w:after="80"/>
      <w:ind/>
      <w:contextualSpacing w:val="1"/>
    </w:pPr>
    <w:rPr>
      <w:rFonts w:asciiTheme="majorAscii" w:hAnsiTheme="majorHAnsi"/>
      <w:color w:val="000000"/>
      <w:spacing w:val="-10"/>
      <w:sz w:val="56"/>
    </w:rPr>
  </w:style>
  <w:style w:styleId="Style_28_ch" w:type="character">
    <w:name w:val="Title"/>
    <w:basedOn w:val="Style_2_ch"/>
    <w:link w:val="Style_28"/>
    <w:rPr>
      <w:rFonts w:asciiTheme="majorAscii" w:hAnsiTheme="majorHAnsi"/>
      <w:color w:val="000000"/>
      <w:spacing w:val="-10"/>
      <w:sz w:val="56"/>
    </w:rPr>
  </w:style>
  <w:style w:styleId="Style_29" w:type="paragraph">
    <w:name w:val="heading 4"/>
    <w:basedOn w:val="Style_2"/>
    <w:next w:val="Style_2"/>
    <w:link w:val="Style_29_ch"/>
    <w:uiPriority w:val="9"/>
    <w:qFormat/>
    <w:pPr>
      <w:keepNext w:val="1"/>
      <w:keepLines w:val="1"/>
      <w:widowControl w:val="1"/>
      <w:spacing w:after="40" w:before="80" w:line="264" w:lineRule="auto"/>
      <w:ind/>
      <w:outlineLvl w:val="3"/>
    </w:pPr>
    <w:rPr>
      <w:rFonts w:asciiTheme="minorAscii" w:hAnsiTheme="minorHAnsi"/>
      <w:i w:val="1"/>
      <w:color w:themeColor="accent1" w:themeShade="BF" w:val="2F5496"/>
      <w:sz w:val="22"/>
    </w:rPr>
  </w:style>
  <w:style w:styleId="Style_29_ch" w:type="character">
    <w:name w:val="heading 4"/>
    <w:basedOn w:val="Style_2_ch"/>
    <w:link w:val="Style_29"/>
    <w:rPr>
      <w:rFonts w:asciiTheme="minorAscii" w:hAnsiTheme="minorHAnsi"/>
      <w:i w:val="1"/>
      <w:color w:themeColor="accent1" w:themeShade="BF" w:val="2F5496"/>
      <w:sz w:val="22"/>
    </w:rPr>
  </w:style>
  <w:style w:styleId="Style_30" w:type="paragraph">
    <w:name w:val="Intense Emphasis"/>
    <w:basedOn w:val="Style_17"/>
    <w:link w:val="Style_30_ch"/>
    <w:rPr>
      <w:i w:val="1"/>
      <w:color w:themeColor="accent1" w:themeShade="BF" w:val="2F5496"/>
    </w:rPr>
  </w:style>
  <w:style w:styleId="Style_30_ch" w:type="character">
    <w:name w:val="Intense Emphasis"/>
    <w:basedOn w:val="Style_17_ch"/>
    <w:link w:val="Style_30"/>
    <w:rPr>
      <w:i w:val="1"/>
      <w:color w:themeColor="accent1" w:themeShade="BF" w:val="2F5496"/>
    </w:rPr>
  </w:style>
  <w:style w:styleId="Style_31" w:type="paragraph">
    <w:name w:val="heading 2"/>
    <w:basedOn w:val="Style_2"/>
    <w:next w:val="Style_2"/>
    <w:link w:val="Style_31_ch"/>
    <w:uiPriority w:val="9"/>
    <w:qFormat/>
    <w:pPr>
      <w:keepNext w:val="1"/>
      <w:keepLines w:val="1"/>
      <w:widowControl w:val="1"/>
      <w:spacing w:after="80" w:before="160" w:line="264" w:lineRule="auto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1_ch" w:type="character">
    <w:name w:val="heading 2"/>
    <w:basedOn w:val="Style_2_ch"/>
    <w:link w:val="Style_31"/>
    <w:rPr>
      <w:rFonts w:asciiTheme="majorAscii" w:hAnsiTheme="majorHAnsi"/>
      <w:color w:themeColor="accent1" w:themeShade="BF" w:val="2F5496"/>
      <w:sz w:val="32"/>
    </w:rPr>
  </w:style>
  <w:style w:styleId="Style_32" w:type="paragraph">
    <w:name w:val="Intense Reference"/>
    <w:basedOn w:val="Style_17"/>
    <w:link w:val="Style_32_ch"/>
    <w:rPr>
      <w:b w:val="1"/>
      <w:smallCaps w:val="1"/>
      <w:color w:themeColor="accent1" w:themeShade="BF" w:val="2F5496"/>
      <w:spacing w:val="5"/>
    </w:rPr>
  </w:style>
  <w:style w:styleId="Style_32_ch" w:type="character">
    <w:name w:val="Intense Reference"/>
    <w:basedOn w:val="Style_17_ch"/>
    <w:link w:val="Style_32"/>
    <w:rPr>
      <w:b w:val="1"/>
      <w:smallCaps w:val="1"/>
      <w:color w:themeColor="accent1" w:themeShade="BF" w:val="2F5496"/>
      <w:spacing w:val="5"/>
    </w:rPr>
  </w:style>
  <w:style w:styleId="Style_33" w:type="paragraph">
    <w:name w:val="heading 6"/>
    <w:basedOn w:val="Style_2"/>
    <w:next w:val="Style_2"/>
    <w:link w:val="Style_33_ch"/>
    <w:uiPriority w:val="9"/>
    <w:qFormat/>
    <w:pPr>
      <w:keepNext w:val="1"/>
      <w:keepLines w:val="1"/>
      <w:widowControl w:val="1"/>
      <w:spacing w:before="40" w:line="264" w:lineRule="auto"/>
      <w:ind/>
      <w:outlineLvl w:val="5"/>
    </w:pPr>
    <w:rPr>
      <w:rFonts w:asciiTheme="minorAscii" w:hAnsiTheme="minorHAnsi"/>
      <w:i w:val="1"/>
      <w:color w:themeColor="text1" w:themeTint="A6" w:val="595959"/>
      <w:sz w:val="22"/>
    </w:rPr>
  </w:style>
  <w:style w:styleId="Style_33_ch" w:type="character">
    <w:name w:val="heading 6"/>
    <w:basedOn w:val="Style_2_ch"/>
    <w:link w:val="Style_33"/>
    <w:rPr>
      <w:rFonts w:asciiTheme="minorAscii" w:hAnsiTheme="minorHAnsi"/>
      <w:i w:val="1"/>
      <w:color w:themeColor="text1" w:themeTint="A6" w:val="595959"/>
      <w:sz w:val="22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2026-01-14T13:37:04Z</dcterms:created>
  <dcterms:modified xsi:type="dcterms:W3CDTF">2026-01-14T13:37:04Z</dcterms:modified>
</cp:coreProperties>
</file>